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DBE88"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b/>
          <w:bCs/>
          <w:kern w:val="0"/>
          <w:sz w:val="32"/>
          <w:szCs w:val="32"/>
          <w14:ligatures w14:val="none"/>
        </w:rPr>
      </w:pPr>
      <w:r w:rsidRPr="008E0031">
        <w:rPr>
          <w:rFonts w:ascii="Times New Roman" w:eastAsia="Times New Roman" w:hAnsi="Times New Roman" w:cs="Times New Roman"/>
          <w:b/>
          <w:bCs/>
          <w:kern w:val="0"/>
          <w:sz w:val="32"/>
          <w:szCs w:val="32"/>
          <w14:ligatures w14:val="none"/>
        </w:rPr>
        <w:t xml:space="preserve">Here is a step-by-step explanation of the Institutional License requirements under Chapter 360-10 of the Georgia Composite Medical Board rules. </w:t>
      </w:r>
    </w:p>
    <w:p w14:paraId="157324DA"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Step 1: Confirm that the applicant is the right type of physician</w:t>
      </w:r>
    </w:p>
    <w:p w14:paraId="7D597092"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An institutional license is intended for a graduate of an international medical school whom an eligible institution wants to employ, but who does not have an independent Georgia medical license. The Board issues this license only under “exceptional circumstances.” The license is jointly awarded to the applicant &amp; the institution. Rule 360-10-.01. </w:t>
      </w:r>
    </w:p>
    <w:p w14:paraId="6B4085C6"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Step 2: Confirm that the employer is an eligible “institution”</w:t>
      </w:r>
    </w:p>
    <w:p w14:paraId="2558FD22"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institution must be one of the following:</w:t>
      </w:r>
    </w:p>
    <w:p w14:paraId="61F3D319" w14:textId="77777777" w:rsidR="008E0031" w:rsidRPr="008E0031" w:rsidRDefault="008E0031" w:rsidP="008E00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a hospital licensed by the Department of Community Health,</w:t>
      </w:r>
    </w:p>
    <w:p w14:paraId="61F64670" w14:textId="77777777" w:rsidR="008E0031" w:rsidRPr="008E0031" w:rsidRDefault="008E0031" w:rsidP="008E00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a board-approved medical school,</w:t>
      </w:r>
    </w:p>
    <w:p w14:paraId="3FF92728" w14:textId="77777777" w:rsidR="008E0031" w:rsidRPr="008E0031" w:rsidRDefault="008E0031" w:rsidP="008E00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a teaching hospital within Georgia, or</w:t>
      </w:r>
    </w:p>
    <w:p w14:paraId="545FF5A8" w14:textId="77777777" w:rsidR="008E0031" w:rsidRPr="008E0031" w:rsidRDefault="008E0031" w:rsidP="008E003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a clinic in Georgia that serves Medicaid, indigent, or underserved populations.</w:t>
      </w:r>
    </w:p>
    <w:p w14:paraId="00601CDB"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That definition appears in </w:t>
      </w:r>
      <w:r w:rsidRPr="008E0031">
        <w:rPr>
          <w:rFonts w:ascii="Times New Roman" w:eastAsia="Times New Roman" w:hAnsi="Times New Roman" w:cs="Times New Roman"/>
          <w:b/>
          <w:bCs/>
          <w:kern w:val="0"/>
          <w14:ligatures w14:val="none"/>
        </w:rPr>
        <w:t>Rule 360-10-.01(1)(b)</w:t>
      </w:r>
      <w:r w:rsidRPr="008E0031">
        <w:rPr>
          <w:rFonts w:ascii="Times New Roman" w:eastAsia="Times New Roman" w:hAnsi="Times New Roman" w:cs="Times New Roman"/>
          <w:kern w:val="0"/>
          <w14:ligatures w14:val="none"/>
        </w:rPr>
        <w:t xml:space="preserve">. </w:t>
      </w:r>
    </w:p>
    <w:p w14:paraId="023FA37A"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Step 3: Show “exceptional circumstances”</w:t>
      </w:r>
    </w:p>
    <w:p w14:paraId="5E6F2F59"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466B32">
        <w:rPr>
          <w:rFonts w:ascii="Times New Roman" w:eastAsia="Times New Roman" w:hAnsi="Times New Roman" w:cs="Times New Roman"/>
          <w:b/>
          <w:bCs/>
          <w:kern w:val="0"/>
          <w:u w:val="single"/>
          <w14:ligatures w14:val="none"/>
        </w:rPr>
        <w:t>The institution must submit a written attestation to the Board</w:t>
      </w:r>
      <w:r w:rsidRPr="008E0031">
        <w:rPr>
          <w:rFonts w:ascii="Times New Roman" w:eastAsia="Times New Roman" w:hAnsi="Times New Roman" w:cs="Times New Roman"/>
          <w:kern w:val="0"/>
          <w14:ligatures w14:val="none"/>
        </w:rPr>
        <w:t xml:space="preserve"> showing exceptional circumstances, meaning information demonstrating that the applicant has valuable, unique, or otherwise relevant expertise that would benefit the institution. This attestation is required whether the institution is:</w:t>
      </w:r>
    </w:p>
    <w:p w14:paraId="6A78621A" w14:textId="77777777" w:rsidR="008E0031" w:rsidRPr="008E0031" w:rsidRDefault="008E0031" w:rsidP="008E00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a non-teaching hospital,</w:t>
      </w:r>
    </w:p>
    <w:p w14:paraId="2758783B" w14:textId="77777777" w:rsidR="008E0031" w:rsidRPr="008E0031" w:rsidRDefault="008E0031" w:rsidP="008E00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a board-approved medical school or teaching hospital, or</w:t>
      </w:r>
    </w:p>
    <w:p w14:paraId="080941C9" w14:textId="77777777" w:rsidR="008E0031" w:rsidRPr="008E0031" w:rsidRDefault="008E0031" w:rsidP="008E003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a clinic serving Medicaid, indigent, or underserved populations.</w:t>
      </w:r>
    </w:p>
    <w:p w14:paraId="662D6108"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The applicant also must be unable to qualify for licensure under O.C.G.A. § 43-34-26. Rule 360-10-.01(1)(c), (3), (4), (5). </w:t>
      </w:r>
    </w:p>
    <w:p w14:paraId="2BF7B494" w14:textId="77777777" w:rsid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5AA6F239" w14:textId="77777777" w:rsid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1A82E246" w14:textId="77777777" w:rsid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75F065C4" w14:textId="51A74EB2"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lastRenderedPageBreak/>
        <w:t>Step 4: Complete the application properly</w:t>
      </w:r>
    </w:p>
    <w:p w14:paraId="227D05B1"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application must be completed according to the Board’s instructions. It must be complete in every respect, including all required:</w:t>
      </w:r>
    </w:p>
    <w:p w14:paraId="315029F3" w14:textId="77777777" w:rsidR="008E0031" w:rsidRPr="008E0031" w:rsidRDefault="008E0031" w:rsidP="008E00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documentation,</w:t>
      </w:r>
    </w:p>
    <w:p w14:paraId="6B66102A" w14:textId="77777777" w:rsidR="008E0031" w:rsidRPr="008E0031" w:rsidRDefault="008E0031" w:rsidP="008E00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signatures,</w:t>
      </w:r>
    </w:p>
    <w:p w14:paraId="458700A3" w14:textId="77777777" w:rsidR="008E0031" w:rsidRPr="008E0031" w:rsidRDefault="008E0031" w:rsidP="008E00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seals, &amp;</w:t>
      </w:r>
    </w:p>
    <w:p w14:paraId="67303DE9" w14:textId="77777777" w:rsidR="008E0031" w:rsidRPr="008E0031" w:rsidRDefault="008E0031" w:rsidP="008E003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fees.</w:t>
      </w:r>
    </w:p>
    <w:p w14:paraId="40C40589"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The Board will not consider the application until it is complete. If the applicant’s address changes while the application is pending, the applicant must notify the Board in writing within 10 days. Application fees are </w:t>
      </w:r>
      <w:proofErr w:type="gramStart"/>
      <w:r w:rsidRPr="008E0031">
        <w:rPr>
          <w:rFonts w:ascii="Times New Roman" w:eastAsia="Times New Roman" w:hAnsi="Times New Roman" w:cs="Times New Roman"/>
          <w:kern w:val="0"/>
          <w14:ligatures w14:val="none"/>
        </w:rPr>
        <w:t>nonrefundable</w:t>
      </w:r>
      <w:proofErr w:type="gramEnd"/>
      <w:r w:rsidRPr="008E0031">
        <w:rPr>
          <w:rFonts w:ascii="Times New Roman" w:eastAsia="Times New Roman" w:hAnsi="Times New Roman" w:cs="Times New Roman"/>
          <w:kern w:val="0"/>
          <w14:ligatures w14:val="none"/>
        </w:rPr>
        <w:t xml:space="preserve">. If an application remains incomplete for more than one year, it becomes invalid, &amp; a new application with the proper fee must be filed. Rule 360-10-.02. </w:t>
      </w:r>
    </w:p>
    <w:p w14:paraId="3B153635"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Step 5: Meet the education requirements</w:t>
      </w:r>
    </w:p>
    <w:p w14:paraId="37CD5623"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Board may apply standards that differ from those for an unrestricted Georgia medical license, but it still evaluates whether the applicant has the necessary qualifications. For education:</w:t>
      </w:r>
    </w:p>
    <w:p w14:paraId="5B6E501C" w14:textId="77777777" w:rsidR="008E0031" w:rsidRPr="008E0031" w:rsidRDefault="008E0031" w:rsidP="008E00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applicant must possess the same basic qualifications &amp; background expected of other physician applicants, including good moral character &amp; other background qualifications required by O.C.G.A. Title 43, Chapter 34;</w:t>
      </w:r>
    </w:p>
    <w:p w14:paraId="32042262" w14:textId="77777777" w:rsidR="008E0031" w:rsidRPr="008E0031" w:rsidRDefault="008E0031" w:rsidP="008E00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foreign medical schools must have a program leading to an M.D. or equivalent with at least two years of premedical training &amp; at least 130 weeks of instruction;</w:t>
      </w:r>
    </w:p>
    <w:p w14:paraId="63A7C5C4" w14:textId="77777777" w:rsidR="008E0031" w:rsidRPr="008E0031" w:rsidRDefault="008E0031" w:rsidP="008E00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official medical &amp; premedical transcripts must be sent directly to the Board </w:t>
      </w:r>
      <w:proofErr w:type="gramStart"/>
      <w:r w:rsidRPr="008E0031">
        <w:rPr>
          <w:rFonts w:ascii="Times New Roman" w:eastAsia="Times New Roman" w:hAnsi="Times New Roman" w:cs="Times New Roman"/>
          <w:kern w:val="0"/>
          <w14:ligatures w14:val="none"/>
        </w:rPr>
        <w:t>from</w:t>
      </w:r>
      <w:proofErr w:type="gramEnd"/>
      <w:r w:rsidRPr="008E0031">
        <w:rPr>
          <w:rFonts w:ascii="Times New Roman" w:eastAsia="Times New Roman" w:hAnsi="Times New Roman" w:cs="Times New Roman"/>
          <w:kern w:val="0"/>
          <w14:ligatures w14:val="none"/>
        </w:rPr>
        <w:t xml:space="preserve"> the schools;</w:t>
      </w:r>
    </w:p>
    <w:p w14:paraId="365AEAF0" w14:textId="77777777" w:rsidR="008E0031" w:rsidRPr="008E0031" w:rsidRDefault="008E0031" w:rsidP="008E00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if transcripts are in a foreign language, the applicant must provide a certified English translation;</w:t>
      </w:r>
    </w:p>
    <w:p w14:paraId="58F3C0E5" w14:textId="77777777" w:rsidR="008E0031" w:rsidRPr="008E0031" w:rsidRDefault="008E0031" w:rsidP="008E003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in the Board’s discretion, transcript requirements may be waived if the applicant shows diligent efforts to obtain them &amp; the Board accepts FSMB verification instead.</w:t>
      </w:r>
    </w:p>
    <w:p w14:paraId="1A3BE484"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b/>
          <w:bCs/>
          <w:kern w:val="0"/>
          <w14:ligatures w14:val="none"/>
        </w:rPr>
        <w:t>Rule 360-10-.03(1)(a)</w:t>
      </w:r>
      <w:r w:rsidRPr="008E0031">
        <w:rPr>
          <w:rFonts w:ascii="Times New Roman" w:eastAsia="Times New Roman" w:hAnsi="Times New Roman" w:cs="Times New Roman"/>
          <w:kern w:val="0"/>
          <w14:ligatures w14:val="none"/>
        </w:rPr>
        <w:t xml:space="preserve">. </w:t>
      </w:r>
    </w:p>
    <w:p w14:paraId="06BA4ED5"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Step 6: Demonstrate English proficiency</w:t>
      </w:r>
    </w:p>
    <w:p w14:paraId="346F01AB"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Any applicant the institution wants to employ must show satisfactory competence in the English language by reasonable means prescribed by the Board. Rule 360-10-.03(2). </w:t>
      </w:r>
    </w:p>
    <w:p w14:paraId="77CBC4BD" w14:textId="77777777" w:rsid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219FD11E" w14:textId="5F4771BB"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lastRenderedPageBreak/>
        <w:t>Step 7: Show competence through experience, training, &amp; examination</w:t>
      </w:r>
    </w:p>
    <w:p w14:paraId="0B263721"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Board may evaluate competence by considering:</w:t>
      </w:r>
    </w:p>
    <w:p w14:paraId="541DAE8D" w14:textId="77777777" w:rsidR="008E0031" w:rsidRPr="008E0031" w:rsidRDefault="008E0031" w:rsidP="008E00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specialty board certification or other professional attainments,</w:t>
      </w:r>
    </w:p>
    <w:p w14:paraId="11BE2E98" w14:textId="77777777" w:rsidR="008E0031" w:rsidRPr="008E0031" w:rsidRDefault="008E0031" w:rsidP="008E00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licensure in another state or foreign jurisdiction,</w:t>
      </w:r>
    </w:p>
    <w:p w14:paraId="480E28C0" w14:textId="77777777" w:rsidR="008E0031" w:rsidRPr="008E0031" w:rsidRDefault="008E0031" w:rsidP="008E00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reference letters from licensed physicians with direct firsthand knowledge of the applicant’s ability,</w:t>
      </w:r>
    </w:p>
    <w:p w14:paraId="623E3C0B" w14:textId="77777777" w:rsidR="008E0031" w:rsidRPr="008E0031" w:rsidRDefault="008E0031" w:rsidP="008E00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proof of AMA or AOA approved postgraduate residency training or other Board-approved training, &amp;</w:t>
      </w:r>
    </w:p>
    <w:p w14:paraId="08925A3A" w14:textId="77777777" w:rsidR="008E0031" w:rsidRPr="008E0031" w:rsidRDefault="008E0031" w:rsidP="008E003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successful completion of a physician licensure examination, or any other exam the Board requires.</w:t>
      </w:r>
    </w:p>
    <w:p w14:paraId="719C0995"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If the Board decides an exam is necessary, it may be </w:t>
      </w:r>
      <w:r w:rsidRPr="008E0031">
        <w:rPr>
          <w:rFonts w:ascii="Times New Roman" w:eastAsia="Times New Roman" w:hAnsi="Times New Roman" w:cs="Times New Roman"/>
          <w:b/>
          <w:bCs/>
          <w:kern w:val="0"/>
          <w14:ligatures w14:val="none"/>
        </w:rPr>
        <w:t>oral, written, practical, or any combination</w:t>
      </w:r>
      <w:r w:rsidRPr="008E0031">
        <w:rPr>
          <w:rFonts w:ascii="Times New Roman" w:eastAsia="Times New Roman" w:hAnsi="Times New Roman" w:cs="Times New Roman"/>
          <w:kern w:val="0"/>
          <w14:ligatures w14:val="none"/>
        </w:rPr>
        <w:t xml:space="preserve"> of those formats. </w:t>
      </w:r>
      <w:r w:rsidRPr="008E0031">
        <w:rPr>
          <w:rFonts w:ascii="Times New Roman" w:eastAsia="Times New Roman" w:hAnsi="Times New Roman" w:cs="Times New Roman"/>
          <w:b/>
          <w:bCs/>
          <w:kern w:val="0"/>
          <w14:ligatures w14:val="none"/>
        </w:rPr>
        <w:t>Rule 360-10-.03(3), (4), (5)</w:t>
      </w:r>
      <w:r w:rsidRPr="008E0031">
        <w:rPr>
          <w:rFonts w:ascii="Times New Roman" w:eastAsia="Times New Roman" w:hAnsi="Times New Roman" w:cs="Times New Roman"/>
          <w:kern w:val="0"/>
          <w14:ligatures w14:val="none"/>
        </w:rPr>
        <w:t xml:space="preserve">. </w:t>
      </w:r>
    </w:p>
    <w:p w14:paraId="0A2880E9"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Step 8: Submit supervisory oversight information</w:t>
      </w:r>
    </w:p>
    <w:p w14:paraId="4EE60DC9"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The institution should submit information about the applicant’s </w:t>
      </w:r>
      <w:r w:rsidRPr="008E0031">
        <w:rPr>
          <w:rFonts w:ascii="Times New Roman" w:eastAsia="Times New Roman" w:hAnsi="Times New Roman" w:cs="Times New Roman"/>
          <w:b/>
          <w:bCs/>
          <w:kern w:val="0"/>
          <w14:ligatures w14:val="none"/>
        </w:rPr>
        <w:t>supervisory oversight</w:t>
      </w:r>
      <w:r w:rsidRPr="008E0031">
        <w:rPr>
          <w:rFonts w:ascii="Times New Roman" w:eastAsia="Times New Roman" w:hAnsi="Times New Roman" w:cs="Times New Roman"/>
          <w:kern w:val="0"/>
          <w14:ligatures w14:val="none"/>
        </w:rPr>
        <w:t>, including:</w:t>
      </w:r>
    </w:p>
    <w:p w14:paraId="6AABB920" w14:textId="77777777" w:rsidR="008E0031" w:rsidRPr="008E0031" w:rsidRDefault="008E0031" w:rsidP="008E003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name of the supervisor,</w:t>
      </w:r>
    </w:p>
    <w:p w14:paraId="58E9EA0C" w14:textId="77777777" w:rsidR="008E0031" w:rsidRPr="008E0031" w:rsidRDefault="008E0031" w:rsidP="008E003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type of supervision, &amp;</w:t>
      </w:r>
    </w:p>
    <w:p w14:paraId="20C4BE01" w14:textId="77777777" w:rsidR="008E0031" w:rsidRPr="008E0031" w:rsidRDefault="008E0031" w:rsidP="008E003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place of supervision.</w:t>
      </w:r>
    </w:p>
    <w:p w14:paraId="36B9F891"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The Board may also require the physician applicant &amp; a representative of the institution to appear for a personal interview before the Board or a committee. Even if the materials are submitted, the Board still may deny the application or grant it conditionally. Rule 360-10-.03(6), (7), (8). </w:t>
      </w:r>
    </w:p>
    <w:p w14:paraId="1781A21A"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Step 9: Understand the practice limitations before the license is used</w:t>
      </w:r>
    </w:p>
    <w:p w14:paraId="63348799"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If granted, the institutional license is restricted in scope. The physician may practice medicine only:</w:t>
      </w:r>
    </w:p>
    <w:p w14:paraId="7142F5B6" w14:textId="77777777" w:rsidR="008E0031" w:rsidRPr="008E0031" w:rsidRDefault="008E0031" w:rsidP="008E003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under the supervision of a Georgia-licensed physician with an unrestricted license,</w:t>
      </w:r>
    </w:p>
    <w:p w14:paraId="30D92DFF" w14:textId="77777777" w:rsidR="008E0031" w:rsidRPr="008E0031" w:rsidRDefault="008E0031" w:rsidP="008E003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while remaining an employee of the institution, &amp;</w:t>
      </w:r>
    </w:p>
    <w:p w14:paraId="16C65240" w14:textId="77777777" w:rsidR="008E0031" w:rsidRPr="008E0031" w:rsidRDefault="008E0031" w:rsidP="008E003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while being paid on a salary basis.</w:t>
      </w:r>
    </w:p>
    <w:p w14:paraId="644C96A0" w14:textId="77777777" w:rsid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p>
    <w:p w14:paraId="26CF3F5B" w14:textId="77777777" w:rsid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p>
    <w:p w14:paraId="514E2715" w14:textId="693B6644"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lastRenderedPageBreak/>
        <w:t>Also:</w:t>
      </w:r>
    </w:p>
    <w:p w14:paraId="3E3E358F" w14:textId="77777777" w:rsidR="008E0031" w:rsidRPr="008E0031" w:rsidRDefault="008E0031" w:rsidP="008E003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one supervisor may supervise only one institutionally licensed physician at a time,</w:t>
      </w:r>
    </w:p>
    <w:p w14:paraId="73997C1F" w14:textId="77777777" w:rsidR="008E0031" w:rsidRPr="008E0031" w:rsidRDefault="008E0031" w:rsidP="008E003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institutional physician may have more than one approved supervisor,</w:t>
      </w:r>
    </w:p>
    <w:p w14:paraId="623BB4E9" w14:textId="77777777" w:rsidR="008E0031" w:rsidRPr="008E0031" w:rsidRDefault="008E0031" w:rsidP="008E003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all charges for services must be billed by &amp; through the institution named in the application,</w:t>
      </w:r>
    </w:p>
    <w:p w14:paraId="27982E08" w14:textId="77777777" w:rsidR="008E0031" w:rsidRPr="008E0031" w:rsidRDefault="008E0031" w:rsidP="008E003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physician may not engage in private practice, &amp;</w:t>
      </w:r>
    </w:p>
    <w:p w14:paraId="142AA527" w14:textId="77777777" w:rsidR="008E0031" w:rsidRPr="008E0031" w:rsidRDefault="008E0031" w:rsidP="008E003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rest of the Medical Practice Act still applies unless inconsistent with the institutional-license statute.</w:t>
      </w:r>
    </w:p>
    <w:p w14:paraId="430E7E24"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b/>
          <w:bCs/>
          <w:kern w:val="0"/>
          <w14:ligatures w14:val="none"/>
        </w:rPr>
        <w:t>Rule 360-10-.07</w:t>
      </w:r>
      <w:r w:rsidRPr="008E0031">
        <w:rPr>
          <w:rFonts w:ascii="Times New Roman" w:eastAsia="Times New Roman" w:hAnsi="Times New Roman" w:cs="Times New Roman"/>
          <w:kern w:val="0"/>
          <w14:ligatures w14:val="none"/>
        </w:rPr>
        <w:t xml:space="preserve">. </w:t>
      </w:r>
    </w:p>
    <w:p w14:paraId="1E0A1507"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Step 10: Maintain the license after issuance</w:t>
      </w:r>
    </w:p>
    <w:p w14:paraId="03D5813E"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Once licensed, the physician must:</w:t>
      </w:r>
    </w:p>
    <w:p w14:paraId="30CBD6E1" w14:textId="77777777" w:rsidR="008E0031" w:rsidRPr="008E0031" w:rsidRDefault="008E0031" w:rsidP="008E003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notify the Board in writing within 30 days of any address change,</w:t>
      </w:r>
    </w:p>
    <w:p w14:paraId="16FF47CA" w14:textId="77777777" w:rsidR="008E0031" w:rsidRPr="008E0031" w:rsidRDefault="008E0031" w:rsidP="008E003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renew the license every two years,</w:t>
      </w:r>
    </w:p>
    <w:p w14:paraId="5A71BFE3" w14:textId="77777777" w:rsidR="008E0031" w:rsidRPr="008E0031" w:rsidRDefault="008E0031" w:rsidP="008E003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remember that institutional licenses expire biennially on June 30, &amp;</w:t>
      </w:r>
    </w:p>
    <w:p w14:paraId="58DB4772" w14:textId="77777777" w:rsidR="008E0031" w:rsidRPr="008E0031" w:rsidRDefault="008E0031" w:rsidP="008E003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satisfy Board-approved continuing education requirements.</w:t>
      </w:r>
    </w:p>
    <w:p w14:paraId="6F50D467"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To renew, the license holder must certify that he or she still works for the institution identified on the renewal form, complete not less than 40 hours of Category I AMA approved credits </w:t>
      </w:r>
      <w:proofErr w:type="gramStart"/>
      <w:r w:rsidRPr="008E0031">
        <w:rPr>
          <w:rFonts w:ascii="Times New Roman" w:eastAsia="Times New Roman" w:hAnsi="Times New Roman" w:cs="Times New Roman"/>
          <w:kern w:val="0"/>
          <w14:ligatures w14:val="none"/>
        </w:rPr>
        <w:t>annually, &amp;</w:t>
      </w:r>
      <w:proofErr w:type="gramEnd"/>
      <w:r w:rsidRPr="008E0031">
        <w:rPr>
          <w:rFonts w:ascii="Times New Roman" w:eastAsia="Times New Roman" w:hAnsi="Times New Roman" w:cs="Times New Roman"/>
          <w:kern w:val="0"/>
          <w14:ligatures w14:val="none"/>
        </w:rPr>
        <w:t xml:space="preserve"> pay the required fee. Rule 360-10-.04(1), (2), (3). </w:t>
      </w:r>
    </w:p>
    <w:p w14:paraId="0AF15427"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Step 11: Renew on time or face late renewal/revocation</w:t>
      </w:r>
    </w:p>
    <w:p w14:paraId="673622D3"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There is a 3-month late-renewal period after expiration, but a penalty fee applies. If the license is not renewed before that late-renewal period ends, the Board will administratively revoke it. That revocation removes the right to practice medicine in Georgia under the license. A revoked institutional license may be restored only by re-applying for licensure. Rule 360-10-.04(4), (5). </w:t>
      </w:r>
    </w:p>
    <w:p w14:paraId="22E2DD82"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Step 12: Know when the license automatically ends</w:t>
      </w:r>
    </w:p>
    <w:p w14:paraId="74588A6E"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An institutional license becomes void &amp; terminates whenever the physician ceases to be employed by the institution. Also, if the physician wants to surrender the license, the physician must notify the Board in writing by certified mail or hand delivery &amp; immediately return the license. If a disciplinary case is pending when the license is surrendered, that surrender has the same effect as a revocation &amp; is reportable as discipline. Rule 360-10-.05. </w:t>
      </w:r>
    </w:p>
    <w:p w14:paraId="5CBCB45F" w14:textId="77777777" w:rsid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6A9DEE30" w14:textId="77777777" w:rsid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03C3A5BC" w14:textId="4E60976C"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lastRenderedPageBreak/>
        <w:t>Step 13: Know the institution’s reporting duties</w:t>
      </w:r>
    </w:p>
    <w:p w14:paraId="03B9D5DF"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The institution must report to the Board </w:t>
      </w:r>
      <w:r w:rsidRPr="008E0031">
        <w:rPr>
          <w:rFonts w:ascii="Times New Roman" w:eastAsia="Times New Roman" w:hAnsi="Times New Roman" w:cs="Times New Roman"/>
          <w:b/>
          <w:bCs/>
          <w:kern w:val="0"/>
          <w14:ligatures w14:val="none"/>
        </w:rPr>
        <w:t>within 15 days</w:t>
      </w:r>
      <w:r w:rsidRPr="008E0031">
        <w:rPr>
          <w:rFonts w:ascii="Times New Roman" w:eastAsia="Times New Roman" w:hAnsi="Times New Roman" w:cs="Times New Roman"/>
          <w:kern w:val="0"/>
          <w14:ligatures w14:val="none"/>
        </w:rPr>
        <w:t xml:space="preserve"> of:</w:t>
      </w:r>
    </w:p>
    <w:p w14:paraId="0B4E84D0" w14:textId="77777777" w:rsidR="008E0031" w:rsidRPr="008E0031" w:rsidRDefault="008E0031" w:rsidP="008E003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institutional license holder’s withdrawal or termination, including the reasons, &amp;</w:t>
      </w:r>
    </w:p>
    <w:p w14:paraId="5E49C6E6" w14:textId="77777777" w:rsidR="008E0031" w:rsidRPr="008E0031" w:rsidRDefault="008E0031" w:rsidP="008E003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any event that constitutes grounds for discipline or any practice restriction taken against the license holder.</w:t>
      </w:r>
    </w:p>
    <w:p w14:paraId="4F604D41"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b/>
          <w:bCs/>
          <w:kern w:val="0"/>
          <w14:ligatures w14:val="none"/>
        </w:rPr>
        <w:t>Rule 360-10-.06</w:t>
      </w:r>
      <w:r w:rsidRPr="008E0031">
        <w:rPr>
          <w:rFonts w:ascii="Times New Roman" w:eastAsia="Times New Roman" w:hAnsi="Times New Roman" w:cs="Times New Roman"/>
          <w:kern w:val="0"/>
          <w14:ligatures w14:val="none"/>
        </w:rPr>
        <w:t xml:space="preserve">. </w:t>
      </w:r>
    </w:p>
    <w:p w14:paraId="3C809F70"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Step 14: Pay the applicable fee</w:t>
      </w:r>
    </w:p>
    <w:p w14:paraId="2D7169F3"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 xml:space="preserve">The rules state that the appropriate fee must be submitted with the application/renewal, &amp; the fee schedule lists Renewal – Physician (Institutional): $230. Rule 360-10-.04(6); FY2026 Fee Schedule. </w:t>
      </w:r>
    </w:p>
    <w:p w14:paraId="72FA5615" w14:textId="77777777" w:rsidR="008E0031" w:rsidRPr="008E0031" w:rsidRDefault="008E0031" w:rsidP="008E003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E0031">
        <w:rPr>
          <w:rFonts w:ascii="Times New Roman" w:eastAsia="Times New Roman" w:hAnsi="Times New Roman" w:cs="Times New Roman"/>
          <w:b/>
          <w:bCs/>
          <w:kern w:val="0"/>
          <w:sz w:val="36"/>
          <w:szCs w:val="36"/>
          <w14:ligatures w14:val="none"/>
        </w:rPr>
        <w:t>Practical summary</w:t>
      </w:r>
    </w:p>
    <w:p w14:paraId="08C5566C" w14:textId="77777777" w:rsidR="008E0031" w:rsidRPr="008E0031" w:rsidRDefault="008E0031" w:rsidP="008E0031">
      <w:p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To obtain an institutional license, the process is essentially:</w:t>
      </w:r>
    </w:p>
    <w:p w14:paraId="15912B34" w14:textId="77777777" w:rsidR="008E0031" w:rsidRPr="008E0031" w:rsidRDefault="008E0031" w:rsidP="008E003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institution identifies an international medical graduate who cannot qualify for regular Georgia licensure.</w:t>
      </w:r>
    </w:p>
    <w:p w14:paraId="7D3325AE" w14:textId="77777777" w:rsidR="008E0031" w:rsidRPr="008E0031" w:rsidRDefault="008E0031" w:rsidP="008E003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institution confirms it is an eligible institution.</w:t>
      </w:r>
    </w:p>
    <w:p w14:paraId="2E398277" w14:textId="77777777" w:rsidR="008E0031" w:rsidRPr="008E0031" w:rsidRDefault="008E0031" w:rsidP="008E003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institution submits a written exceptional-circumstances attestation.</w:t>
      </w:r>
    </w:p>
    <w:p w14:paraId="6F4EEB9D" w14:textId="77777777" w:rsidR="008E0031" w:rsidRPr="008E0031" w:rsidRDefault="008E0031" w:rsidP="008E003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applicant submits a complete application with all required materials &amp; fees.</w:t>
      </w:r>
    </w:p>
    <w:p w14:paraId="41B1E4D0" w14:textId="77777777" w:rsidR="008E0031" w:rsidRPr="008E0031" w:rsidRDefault="008E0031" w:rsidP="008E003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applicant demonstrates acceptable education, English proficiency, competence, training, &amp; examination history.</w:t>
      </w:r>
    </w:p>
    <w:p w14:paraId="60A3E64A" w14:textId="77777777" w:rsidR="008E0031" w:rsidRPr="008E0031" w:rsidRDefault="008E0031" w:rsidP="008E003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institution submits supervision details.</w:t>
      </w:r>
    </w:p>
    <w:p w14:paraId="0AC67FD9" w14:textId="77777777" w:rsidR="008E0031" w:rsidRPr="008E0031" w:rsidRDefault="008E0031" w:rsidP="008E003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Board reviews the application, may require an interview, &amp; may approve, deny, or conditionally approve.</w:t>
      </w:r>
    </w:p>
    <w:p w14:paraId="7C236EF0" w14:textId="77777777" w:rsidR="008E0031" w:rsidRPr="008E0031" w:rsidRDefault="008E0031" w:rsidP="008E003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If approved, the physician may practice only within the institution, under supervision, on a salary basis, without private practice.</w:t>
      </w:r>
    </w:p>
    <w:p w14:paraId="7663D57C" w14:textId="77777777" w:rsidR="008E0031" w:rsidRPr="008E0031" w:rsidRDefault="008E0031" w:rsidP="008E003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E0031">
        <w:rPr>
          <w:rFonts w:ascii="Times New Roman" w:eastAsia="Times New Roman" w:hAnsi="Times New Roman" w:cs="Times New Roman"/>
          <w:kern w:val="0"/>
          <w14:ligatures w14:val="none"/>
        </w:rPr>
        <w:t>The physician &amp; institution must comply with renewal, reporting, employment, supervision, &amp; termination rules.</w:t>
      </w:r>
    </w:p>
    <w:p w14:paraId="1F726F56" w14:textId="77777777" w:rsidR="008E0031" w:rsidRDefault="008E0031"/>
    <w:sectPr w:rsidR="008E00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90A80"/>
    <w:multiLevelType w:val="multilevel"/>
    <w:tmpl w:val="FDF6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27D85"/>
    <w:multiLevelType w:val="multilevel"/>
    <w:tmpl w:val="448C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BE0382"/>
    <w:multiLevelType w:val="multilevel"/>
    <w:tmpl w:val="894A4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4C0630"/>
    <w:multiLevelType w:val="multilevel"/>
    <w:tmpl w:val="287E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1E2E8C"/>
    <w:multiLevelType w:val="multilevel"/>
    <w:tmpl w:val="C116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4F66FF"/>
    <w:multiLevelType w:val="multilevel"/>
    <w:tmpl w:val="16C4B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6C1821"/>
    <w:multiLevelType w:val="multilevel"/>
    <w:tmpl w:val="D626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1D22F6"/>
    <w:multiLevelType w:val="multilevel"/>
    <w:tmpl w:val="F31C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4D41DC"/>
    <w:multiLevelType w:val="multilevel"/>
    <w:tmpl w:val="928E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060084"/>
    <w:multiLevelType w:val="multilevel"/>
    <w:tmpl w:val="00AC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732486"/>
    <w:multiLevelType w:val="multilevel"/>
    <w:tmpl w:val="D10A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9715625">
    <w:abstractNumId w:val="0"/>
  </w:num>
  <w:num w:numId="2" w16cid:durableId="1302998727">
    <w:abstractNumId w:val="4"/>
  </w:num>
  <w:num w:numId="3" w16cid:durableId="2010712612">
    <w:abstractNumId w:val="5"/>
  </w:num>
  <w:num w:numId="4" w16cid:durableId="1064451415">
    <w:abstractNumId w:val="3"/>
  </w:num>
  <w:num w:numId="5" w16cid:durableId="344092815">
    <w:abstractNumId w:val="10"/>
  </w:num>
  <w:num w:numId="6" w16cid:durableId="103154817">
    <w:abstractNumId w:val="8"/>
  </w:num>
  <w:num w:numId="7" w16cid:durableId="81688077">
    <w:abstractNumId w:val="9"/>
  </w:num>
  <w:num w:numId="8" w16cid:durableId="1922912517">
    <w:abstractNumId w:val="1"/>
  </w:num>
  <w:num w:numId="9" w16cid:durableId="1106000491">
    <w:abstractNumId w:val="7"/>
  </w:num>
  <w:num w:numId="10" w16cid:durableId="946354327">
    <w:abstractNumId w:val="6"/>
  </w:num>
  <w:num w:numId="11" w16cid:durableId="1117990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031"/>
    <w:rsid w:val="00466B32"/>
    <w:rsid w:val="006B4197"/>
    <w:rsid w:val="008E0031"/>
    <w:rsid w:val="00916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689DB"/>
  <w15:chartTrackingRefBased/>
  <w15:docId w15:val="{B2CAFFAC-6473-47CE-8CA3-A017AF04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0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0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0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0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0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0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0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0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0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031"/>
    <w:rPr>
      <w:rFonts w:eastAsiaTheme="majorEastAsia" w:cstheme="majorBidi"/>
      <w:color w:val="272727" w:themeColor="text1" w:themeTint="D8"/>
    </w:rPr>
  </w:style>
  <w:style w:type="paragraph" w:styleId="Title">
    <w:name w:val="Title"/>
    <w:basedOn w:val="Normal"/>
    <w:next w:val="Normal"/>
    <w:link w:val="TitleChar"/>
    <w:uiPriority w:val="10"/>
    <w:qFormat/>
    <w:rsid w:val="008E0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0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031"/>
    <w:pPr>
      <w:spacing w:before="160"/>
      <w:jc w:val="center"/>
    </w:pPr>
    <w:rPr>
      <w:i/>
      <w:iCs/>
      <w:color w:val="404040" w:themeColor="text1" w:themeTint="BF"/>
    </w:rPr>
  </w:style>
  <w:style w:type="character" w:customStyle="1" w:styleId="QuoteChar">
    <w:name w:val="Quote Char"/>
    <w:basedOn w:val="DefaultParagraphFont"/>
    <w:link w:val="Quote"/>
    <w:uiPriority w:val="29"/>
    <w:rsid w:val="008E0031"/>
    <w:rPr>
      <w:i/>
      <w:iCs/>
      <w:color w:val="404040" w:themeColor="text1" w:themeTint="BF"/>
    </w:rPr>
  </w:style>
  <w:style w:type="paragraph" w:styleId="ListParagraph">
    <w:name w:val="List Paragraph"/>
    <w:basedOn w:val="Normal"/>
    <w:uiPriority w:val="34"/>
    <w:qFormat/>
    <w:rsid w:val="008E0031"/>
    <w:pPr>
      <w:ind w:left="720"/>
      <w:contextualSpacing/>
    </w:pPr>
  </w:style>
  <w:style w:type="character" w:styleId="IntenseEmphasis">
    <w:name w:val="Intense Emphasis"/>
    <w:basedOn w:val="DefaultParagraphFont"/>
    <w:uiPriority w:val="21"/>
    <w:qFormat/>
    <w:rsid w:val="008E0031"/>
    <w:rPr>
      <w:i/>
      <w:iCs/>
      <w:color w:val="0F4761" w:themeColor="accent1" w:themeShade="BF"/>
    </w:rPr>
  </w:style>
  <w:style w:type="paragraph" w:styleId="IntenseQuote">
    <w:name w:val="Intense Quote"/>
    <w:basedOn w:val="Normal"/>
    <w:next w:val="Normal"/>
    <w:link w:val="IntenseQuoteChar"/>
    <w:uiPriority w:val="30"/>
    <w:qFormat/>
    <w:rsid w:val="008E0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031"/>
    <w:rPr>
      <w:i/>
      <w:iCs/>
      <w:color w:val="0F4761" w:themeColor="accent1" w:themeShade="BF"/>
    </w:rPr>
  </w:style>
  <w:style w:type="character" w:styleId="IntenseReference">
    <w:name w:val="Intense Reference"/>
    <w:basedOn w:val="DefaultParagraphFont"/>
    <w:uiPriority w:val="32"/>
    <w:qFormat/>
    <w:rsid w:val="008E00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12da10d-071b-4b94-8abc-9ec4044d1516}" enabled="0" method="" siteId="{512da10d-071b-4b94-8abc-9ec4044d1516}" removed="1"/>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1243</Words>
  <Characters>7090</Characters>
  <Application>Microsoft Office Word</Application>
  <DocSecurity>0</DocSecurity>
  <Lines>59</Lines>
  <Paragraphs>16</Paragraphs>
  <ScaleCrop>false</ScaleCrop>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Jason</dc:creator>
  <cp:keywords/>
  <dc:description/>
  <cp:lastModifiedBy>Jones, Jason</cp:lastModifiedBy>
  <cp:revision>2</cp:revision>
  <dcterms:created xsi:type="dcterms:W3CDTF">2026-03-16T10:12:00Z</dcterms:created>
  <dcterms:modified xsi:type="dcterms:W3CDTF">2026-07-14T11:02:00Z</dcterms:modified>
</cp:coreProperties>
</file>